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INFORMATION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Thomas Sakole</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INFORMATION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Grade Span: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9-12</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Targeted Grade Level</w:t>
            </w:r>
            <w:r w:rsidDel="00000000" w:rsidR="00000000" w:rsidRPr="00000000">
              <w:rPr>
                <w:b w:val="1"/>
                <w:rtl w:val="0"/>
              </w:rPr>
              <w:t xml:space="preserve">: </w:t>
            </w:r>
            <w:r w:rsidDel="00000000" w:rsidR="00000000" w:rsidRPr="00000000">
              <w:rPr>
                <w:rtl w:val="0"/>
              </w:rPr>
              <w:t xml:space="preserve">9-12</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rtl w:val="0"/>
              </w:rPr>
              <w:t xml:space="preserve">Targeted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 Human Geogr</w:t>
            </w:r>
            <w:r w:rsidDel="00000000" w:rsidR="00000000" w:rsidRPr="00000000">
              <w:rPr>
                <w:rtl w:val="0"/>
              </w:rPr>
              <w:t xml:space="preserve">aphy; Human Geography; Economics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Estimated Time to Complete Lesson: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60</w:t>
            </w:r>
            <w:r w:rsidDel="00000000" w:rsidR="00000000" w:rsidRPr="00000000">
              <w:rPr>
                <w:rtl w:val="0"/>
              </w:rPr>
              <w:t xml:space="preserve">-80 minutes</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Brief explanation of content connection and/or inspiration of lesson from Discover Korea Research Fellowship: </w:t>
            </w:r>
            <w:r w:rsidDel="00000000" w:rsidR="00000000" w:rsidRPr="00000000">
              <w:rPr>
                <w:rtl w:val="0"/>
              </w:rPr>
              <w:t xml:space="preserve">It was amazing to see the development that occurred in Korea after the Korean War. South Korea leads the world in some key aspects of the Measures of Development used to rank different aspects about nations around the world. However, Korea also struggles with some issues related to their rapid development. After seeing some of these things first hand, I wanted to create a lesson that highlights both Korea’s achievement and addresses some of the areas where they are still struggling.</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FOCUS QUESTION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How can we more accurately and comprehensively measure a country's level of development? A South Korean Case Study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NATIONAL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STANDARDS, STATE STANDA</w:t>
            </w:r>
            <w:r w:rsidDel="00000000" w:rsidR="00000000" w:rsidRPr="00000000">
              <w:rPr>
                <w:b w:val="1"/>
                <w:rtl w:val="0"/>
              </w:rPr>
              <w:t xml:space="preserve">RDS, AND/OR AP CED EKS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160" w:line="259" w:lineRule="auto"/>
              <w:rPr/>
            </w:pPr>
            <w:r w:rsidDel="00000000" w:rsidR="00000000" w:rsidRPr="00000000">
              <w:rPr>
                <w:rtl w:val="0"/>
              </w:rPr>
            </w:r>
          </w:p>
          <w:p w:rsidR="00000000" w:rsidDel="00000000" w:rsidP="00000000" w:rsidRDefault="00000000" w:rsidRPr="00000000" w14:paraId="0000001D">
            <w:pPr>
              <w:spacing w:after="160" w:line="259" w:lineRule="auto"/>
              <w:rPr/>
            </w:pPr>
            <w:r w:rsidDel="00000000" w:rsidR="00000000" w:rsidRPr="00000000">
              <w:rPr>
                <w:rtl w:val="0"/>
              </w:rPr>
              <w:t xml:space="preserve">This lesson on rethinking economic development measures addresses several key standards across state, national, and AP Human Geography curricula. While specific state standards may vary, this lesson generally aligns with the following:</w:t>
            </w:r>
          </w:p>
          <w:p w:rsidR="00000000" w:rsidDel="00000000" w:rsidP="00000000" w:rsidRDefault="00000000" w:rsidRPr="00000000" w14:paraId="0000001E">
            <w:pPr>
              <w:spacing w:after="160" w:line="259" w:lineRule="auto"/>
              <w:rPr/>
            </w:pPr>
            <w:r w:rsidDel="00000000" w:rsidR="00000000" w:rsidRPr="00000000">
              <w:rPr>
                <w:rtl w:val="0"/>
              </w:rPr>
            </w:r>
          </w:p>
          <w:p w:rsidR="00000000" w:rsidDel="00000000" w:rsidP="00000000" w:rsidRDefault="00000000" w:rsidRPr="00000000" w14:paraId="0000001F">
            <w:pPr>
              <w:spacing w:after="160" w:line="259" w:lineRule="auto"/>
              <w:rPr>
                <w:b w:val="1"/>
                <w:sz w:val="28"/>
                <w:szCs w:val="28"/>
                <w:u w:val="single"/>
              </w:rPr>
            </w:pPr>
            <w:r w:rsidDel="00000000" w:rsidR="00000000" w:rsidRPr="00000000">
              <w:rPr>
                <w:b w:val="1"/>
                <w:sz w:val="28"/>
                <w:szCs w:val="28"/>
                <w:u w:val="single"/>
                <w:rtl w:val="0"/>
              </w:rPr>
              <w:t xml:space="preserve">State Standards</w:t>
            </w:r>
          </w:p>
          <w:p w:rsidR="00000000" w:rsidDel="00000000" w:rsidP="00000000" w:rsidRDefault="00000000" w:rsidRPr="00000000" w14:paraId="00000020">
            <w:pPr>
              <w:spacing w:after="160" w:line="259" w:lineRule="auto"/>
              <w:rPr/>
            </w:pPr>
            <w:r w:rsidDel="00000000" w:rsidR="00000000" w:rsidRPr="00000000">
              <w:rPr>
                <w:rtl w:val="0"/>
              </w:rPr>
              <w:t xml:space="preserve">Many states include standards related to the following:</w:t>
            </w:r>
          </w:p>
          <w:p w:rsidR="00000000" w:rsidDel="00000000" w:rsidP="00000000" w:rsidRDefault="00000000" w:rsidRPr="00000000" w14:paraId="00000021">
            <w:pPr>
              <w:spacing w:after="160" w:line="259" w:lineRule="auto"/>
              <w:rPr/>
            </w:pPr>
            <w:r w:rsidDel="00000000" w:rsidR="00000000" w:rsidRPr="00000000">
              <w:rPr>
                <w:rtl w:val="0"/>
              </w:rPr>
              <w:t xml:space="preserve">1. Analyzing economic indicators and development measures</w:t>
            </w:r>
          </w:p>
          <w:p w:rsidR="00000000" w:rsidDel="00000000" w:rsidP="00000000" w:rsidRDefault="00000000" w:rsidRPr="00000000" w14:paraId="00000022">
            <w:pPr>
              <w:spacing w:after="160" w:line="259" w:lineRule="auto"/>
              <w:rPr/>
            </w:pPr>
            <w:r w:rsidDel="00000000" w:rsidR="00000000" w:rsidRPr="00000000">
              <w:rPr>
                <w:rtl w:val="0"/>
              </w:rPr>
              <w:t xml:space="preserve">2. Evaluating the strengths and limitations of different economic metrics</w:t>
            </w:r>
          </w:p>
          <w:p w:rsidR="00000000" w:rsidDel="00000000" w:rsidP="00000000" w:rsidRDefault="00000000" w:rsidRPr="00000000" w14:paraId="00000023">
            <w:pPr>
              <w:spacing w:after="160" w:line="259" w:lineRule="auto"/>
              <w:rPr/>
            </w:pPr>
            <w:r w:rsidDel="00000000" w:rsidR="00000000" w:rsidRPr="00000000">
              <w:rPr>
                <w:rtl w:val="0"/>
              </w:rPr>
              <w:t xml:space="preserve">3. Examining case studies of economic development in specific countries</w:t>
            </w:r>
          </w:p>
          <w:p w:rsidR="00000000" w:rsidDel="00000000" w:rsidP="00000000" w:rsidRDefault="00000000" w:rsidRPr="00000000" w14:paraId="00000024">
            <w:pPr>
              <w:spacing w:after="160" w:line="259" w:lineRule="auto"/>
              <w:rPr/>
            </w:pPr>
            <w:r w:rsidDel="00000000" w:rsidR="00000000" w:rsidRPr="00000000">
              <w:rPr>
                <w:rtl w:val="0"/>
              </w:rPr>
              <w:t xml:space="preserve">4. Proposing and critiquing alternative measures of development</w:t>
            </w:r>
          </w:p>
          <w:p w:rsidR="00000000" w:rsidDel="00000000" w:rsidP="00000000" w:rsidRDefault="00000000" w:rsidRPr="00000000" w14:paraId="00000025">
            <w:pPr>
              <w:spacing w:after="160" w:line="259" w:lineRule="auto"/>
              <w:rPr/>
            </w:pPr>
            <w:r w:rsidDel="00000000" w:rsidR="00000000" w:rsidRPr="00000000">
              <w:rPr>
                <w:rtl w:val="0"/>
              </w:rPr>
            </w:r>
          </w:p>
          <w:p w:rsidR="00000000" w:rsidDel="00000000" w:rsidP="00000000" w:rsidRDefault="00000000" w:rsidRPr="00000000" w14:paraId="00000026">
            <w:pPr>
              <w:spacing w:after="160" w:line="259" w:lineRule="auto"/>
              <w:rPr>
                <w:b w:val="1"/>
                <w:sz w:val="28"/>
                <w:szCs w:val="28"/>
                <w:u w:val="single"/>
              </w:rPr>
            </w:pPr>
            <w:r w:rsidDel="00000000" w:rsidR="00000000" w:rsidRPr="00000000">
              <w:rPr>
                <w:b w:val="1"/>
                <w:sz w:val="28"/>
                <w:szCs w:val="28"/>
                <w:u w:val="single"/>
                <w:rtl w:val="0"/>
              </w:rPr>
              <w:t xml:space="preserve">National Standards (Based on C3 Framework)</w:t>
            </w:r>
          </w:p>
          <w:p w:rsidR="00000000" w:rsidDel="00000000" w:rsidP="00000000" w:rsidRDefault="00000000" w:rsidRPr="00000000" w14:paraId="00000027">
            <w:pPr>
              <w:spacing w:after="160" w:line="259" w:lineRule="auto"/>
              <w:rPr>
                <w:b w:val="1"/>
              </w:rPr>
            </w:pPr>
            <w:r w:rsidDel="00000000" w:rsidR="00000000" w:rsidRPr="00000000">
              <w:rPr>
                <w:b w:val="1"/>
                <w:rtl w:val="0"/>
              </w:rPr>
              <w:t xml:space="preserve">D2.Eco.1.9-12</w:t>
            </w:r>
          </w:p>
          <w:p w:rsidR="00000000" w:rsidDel="00000000" w:rsidP="00000000" w:rsidRDefault="00000000" w:rsidRPr="00000000" w14:paraId="00000028">
            <w:pPr>
              <w:spacing w:after="160" w:line="259" w:lineRule="auto"/>
              <w:rPr/>
            </w:pPr>
            <w:r w:rsidDel="00000000" w:rsidR="00000000" w:rsidRPr="00000000">
              <w:rPr>
                <w:rtl w:val="0"/>
              </w:rPr>
              <w:t xml:space="preserve">Analyze how incentives influence choices that may result in policies with a range of costs and benefits for different groups.</w:t>
            </w:r>
          </w:p>
          <w:p w:rsidR="00000000" w:rsidDel="00000000" w:rsidP="00000000" w:rsidRDefault="00000000" w:rsidRPr="00000000" w14:paraId="00000029">
            <w:pPr>
              <w:spacing w:after="160" w:line="259" w:lineRule="auto"/>
              <w:rPr>
                <w:b w:val="1"/>
              </w:rPr>
            </w:pPr>
            <w:r w:rsidDel="00000000" w:rsidR="00000000" w:rsidRPr="00000000">
              <w:rPr>
                <w:b w:val="1"/>
                <w:rtl w:val="0"/>
              </w:rPr>
              <w:t xml:space="preserve">D2.Geo.4.9-12</w:t>
            </w:r>
          </w:p>
          <w:p w:rsidR="00000000" w:rsidDel="00000000" w:rsidP="00000000" w:rsidRDefault="00000000" w:rsidRPr="00000000" w14:paraId="0000002A">
            <w:pPr>
              <w:spacing w:after="160" w:line="259" w:lineRule="auto"/>
              <w:rPr/>
            </w:pPr>
            <w:r w:rsidDel="00000000" w:rsidR="00000000" w:rsidRPr="00000000">
              <w:rPr>
                <w:rtl w:val="0"/>
              </w:rPr>
              <w:t xml:space="preserve">Analyze relationships and interactions within and between human and physical systems to explain reciprocal influences that occur among them.</w:t>
            </w:r>
          </w:p>
          <w:p w:rsidR="00000000" w:rsidDel="00000000" w:rsidP="00000000" w:rsidRDefault="00000000" w:rsidRPr="00000000" w14:paraId="0000002B">
            <w:pPr>
              <w:spacing w:after="160" w:line="259" w:lineRule="auto"/>
              <w:rPr>
                <w:b w:val="1"/>
              </w:rPr>
            </w:pPr>
            <w:r w:rsidDel="00000000" w:rsidR="00000000" w:rsidRPr="00000000">
              <w:rPr>
                <w:b w:val="1"/>
                <w:rtl w:val="0"/>
              </w:rPr>
              <w:t xml:space="preserve">D2.Geo.11.9-12</w:t>
            </w:r>
          </w:p>
          <w:p w:rsidR="00000000" w:rsidDel="00000000" w:rsidP="00000000" w:rsidRDefault="00000000" w:rsidRPr="00000000" w14:paraId="0000002C">
            <w:pPr>
              <w:spacing w:after="160" w:line="259" w:lineRule="auto"/>
              <w:rPr/>
            </w:pPr>
            <w:r w:rsidDel="00000000" w:rsidR="00000000" w:rsidRPr="00000000">
              <w:rPr>
                <w:rtl w:val="0"/>
              </w:rPr>
              <w:t xml:space="preserve">Evaluate how economic globalization and the expanding use of scarce resources contribute to conflict and cooperation within and among countries.</w:t>
            </w:r>
          </w:p>
          <w:p w:rsidR="00000000" w:rsidDel="00000000" w:rsidP="00000000" w:rsidRDefault="00000000" w:rsidRPr="00000000" w14:paraId="0000002D">
            <w:pPr>
              <w:spacing w:after="160" w:line="259" w:lineRule="auto"/>
              <w:rPr/>
            </w:pPr>
            <w:r w:rsidDel="00000000" w:rsidR="00000000" w:rsidRPr="00000000">
              <w:rPr>
                <w:rtl w:val="0"/>
              </w:rPr>
            </w:r>
          </w:p>
          <w:p w:rsidR="00000000" w:rsidDel="00000000" w:rsidP="00000000" w:rsidRDefault="00000000" w:rsidRPr="00000000" w14:paraId="0000002E">
            <w:pPr>
              <w:spacing w:after="160" w:line="259" w:lineRule="auto"/>
              <w:rPr/>
            </w:pPr>
            <w:r w:rsidDel="00000000" w:rsidR="00000000" w:rsidRPr="00000000">
              <w:rPr>
                <w:b w:val="1"/>
                <w:sz w:val="30"/>
                <w:szCs w:val="30"/>
                <w:u w:val="single"/>
                <w:rtl w:val="0"/>
              </w:rPr>
              <w:t xml:space="preserve">AP Human Geography Standards</w:t>
            </w:r>
            <w:r w:rsidDel="00000000" w:rsidR="00000000" w:rsidRPr="00000000">
              <w:rPr>
                <w:rtl w:val="0"/>
              </w:rPr>
            </w:r>
          </w:p>
          <w:p w:rsidR="00000000" w:rsidDel="00000000" w:rsidP="00000000" w:rsidRDefault="00000000" w:rsidRPr="00000000" w14:paraId="0000002F">
            <w:pPr>
              <w:spacing w:after="160" w:line="259" w:lineRule="auto"/>
              <w:rPr/>
            </w:pPr>
            <w:r w:rsidDel="00000000" w:rsidR="00000000" w:rsidRPr="00000000">
              <w:rPr>
                <w:rtl w:val="0"/>
              </w:rPr>
              <w:t xml:space="preserve">This lesson particularly aligns with the following areas from the AP Human Geography course description:</w:t>
            </w:r>
          </w:p>
          <w:p w:rsidR="00000000" w:rsidDel="00000000" w:rsidP="00000000" w:rsidRDefault="00000000" w:rsidRPr="00000000" w14:paraId="00000030">
            <w:pPr>
              <w:spacing w:after="160" w:line="259" w:lineRule="auto"/>
              <w:rPr>
                <w:b w:val="1"/>
                <w:sz w:val="26"/>
                <w:szCs w:val="26"/>
                <w:u w:val="single"/>
              </w:rPr>
            </w:pPr>
            <w:r w:rsidDel="00000000" w:rsidR="00000000" w:rsidRPr="00000000">
              <w:rPr>
                <w:b w:val="1"/>
                <w:sz w:val="26"/>
                <w:szCs w:val="26"/>
                <w:u w:val="single"/>
                <w:rtl w:val="0"/>
              </w:rPr>
              <w:t xml:space="preserve">Unit 7: Industrial and Economic Development Patterns and Processes</w:t>
            </w:r>
          </w:p>
          <w:p w:rsidR="00000000" w:rsidDel="00000000" w:rsidP="00000000" w:rsidRDefault="00000000" w:rsidRPr="00000000" w14:paraId="00000031">
            <w:pPr>
              <w:spacing w:after="160" w:line="259" w:lineRule="auto"/>
              <w:rPr>
                <w:b w:val="1"/>
              </w:rPr>
            </w:pPr>
            <w:r w:rsidDel="00000000" w:rsidR="00000000" w:rsidRPr="00000000">
              <w:rPr>
                <w:b w:val="1"/>
                <w:rtl w:val="0"/>
              </w:rPr>
              <w:t xml:space="preserve">Topic 7.2: Measures of Development</w:t>
            </w:r>
          </w:p>
          <w:p w:rsidR="00000000" w:rsidDel="00000000" w:rsidP="00000000" w:rsidRDefault="00000000" w:rsidRPr="00000000" w14:paraId="00000032">
            <w:pPr>
              <w:spacing w:after="160" w:line="259" w:lineRule="auto"/>
              <w:rPr/>
            </w:pPr>
            <w:r w:rsidDel="00000000" w:rsidR="00000000" w:rsidRPr="00000000">
              <w:rPr>
                <w:rtl w:val="0"/>
              </w:rPr>
              <w:t xml:space="preserve">- Analyze and evaluate measures of development, including:</w:t>
            </w:r>
          </w:p>
          <w:p w:rsidR="00000000" w:rsidDel="00000000" w:rsidP="00000000" w:rsidRDefault="00000000" w:rsidRPr="00000000" w14:paraId="00000033">
            <w:pPr>
              <w:spacing w:after="160" w:line="259" w:lineRule="auto"/>
              <w:rPr/>
            </w:pPr>
            <w:r w:rsidDel="00000000" w:rsidR="00000000" w:rsidRPr="00000000">
              <w:rPr>
                <w:rtl w:val="0"/>
              </w:rPr>
              <w:t xml:space="preserve">  - Gross Domestic Product (GDP) and Gross National Product (GNP)</w:t>
            </w:r>
          </w:p>
          <w:p w:rsidR="00000000" w:rsidDel="00000000" w:rsidP="00000000" w:rsidRDefault="00000000" w:rsidRPr="00000000" w14:paraId="00000034">
            <w:pPr>
              <w:spacing w:after="160" w:line="259" w:lineRule="auto"/>
              <w:rPr/>
            </w:pPr>
            <w:r w:rsidDel="00000000" w:rsidR="00000000" w:rsidRPr="00000000">
              <w:rPr>
                <w:rtl w:val="0"/>
              </w:rPr>
              <w:t xml:space="preserve">  - Purchasing Power Parity (PPP)</w:t>
            </w:r>
          </w:p>
          <w:p w:rsidR="00000000" w:rsidDel="00000000" w:rsidP="00000000" w:rsidRDefault="00000000" w:rsidRPr="00000000" w14:paraId="00000035">
            <w:pPr>
              <w:spacing w:after="160" w:line="259" w:lineRule="auto"/>
              <w:rPr/>
            </w:pPr>
            <w:r w:rsidDel="00000000" w:rsidR="00000000" w:rsidRPr="00000000">
              <w:rPr>
                <w:rtl w:val="0"/>
              </w:rPr>
              <w:t xml:space="preserve">  - Human Development Index (HDI)</w:t>
            </w:r>
          </w:p>
          <w:p w:rsidR="00000000" w:rsidDel="00000000" w:rsidP="00000000" w:rsidRDefault="00000000" w:rsidRPr="00000000" w14:paraId="00000036">
            <w:pPr>
              <w:spacing w:after="160" w:line="259" w:lineRule="auto"/>
              <w:rPr/>
            </w:pPr>
            <w:r w:rsidDel="00000000" w:rsidR="00000000" w:rsidRPr="00000000">
              <w:rPr>
                <w:rtl w:val="0"/>
              </w:rPr>
              <w:t xml:space="preserve">  - Gender Inequality Index (GII)</w:t>
            </w:r>
          </w:p>
          <w:p w:rsidR="00000000" w:rsidDel="00000000" w:rsidP="00000000" w:rsidRDefault="00000000" w:rsidRPr="00000000" w14:paraId="00000037">
            <w:pPr>
              <w:spacing w:after="160" w:line="259" w:lineRule="auto"/>
              <w:rPr/>
            </w:pPr>
            <w:r w:rsidDel="00000000" w:rsidR="00000000" w:rsidRPr="00000000">
              <w:rPr>
                <w:rtl w:val="0"/>
              </w:rPr>
              <w:t xml:space="preserve">  - Income disparity and the Gini coefficient</w:t>
            </w:r>
          </w:p>
          <w:p w:rsidR="00000000" w:rsidDel="00000000" w:rsidP="00000000" w:rsidRDefault="00000000" w:rsidRPr="00000000" w14:paraId="00000038">
            <w:pPr>
              <w:spacing w:after="160" w:line="259" w:lineRule="auto"/>
              <w:rPr>
                <w:b w:val="1"/>
              </w:rPr>
            </w:pPr>
            <w:r w:rsidDel="00000000" w:rsidR="00000000" w:rsidRPr="00000000">
              <w:rPr>
                <w:b w:val="1"/>
                <w:rtl w:val="0"/>
              </w:rPr>
              <w:t xml:space="preserve">Topic 7.3: Role of Women in Economic Development</w:t>
            </w:r>
          </w:p>
          <w:p w:rsidR="00000000" w:rsidDel="00000000" w:rsidP="00000000" w:rsidRDefault="00000000" w:rsidRPr="00000000" w14:paraId="00000039">
            <w:pPr>
              <w:spacing w:after="160" w:line="259" w:lineRule="auto"/>
              <w:rPr/>
            </w:pPr>
            <w:r w:rsidDel="00000000" w:rsidR="00000000" w:rsidRPr="00000000">
              <w:rPr>
                <w:rtl w:val="0"/>
              </w:rPr>
              <w:t xml:space="preserve">- Analyze the ways in which women have contributed to economic development and the challenges they face in both formal and informal sectors.</w:t>
            </w:r>
          </w:p>
          <w:p w:rsidR="00000000" w:rsidDel="00000000" w:rsidP="00000000" w:rsidRDefault="00000000" w:rsidRPr="00000000" w14:paraId="0000003A">
            <w:pPr>
              <w:spacing w:after="160" w:line="259" w:lineRule="auto"/>
              <w:rPr>
                <w:b w:val="1"/>
              </w:rPr>
            </w:pPr>
            <w:r w:rsidDel="00000000" w:rsidR="00000000" w:rsidRPr="00000000">
              <w:rPr>
                <w:b w:val="1"/>
                <w:rtl w:val="0"/>
              </w:rPr>
              <w:t xml:space="preserve">Topic 7.5: Sustainable Development</w:t>
            </w:r>
          </w:p>
          <w:p w:rsidR="00000000" w:rsidDel="00000000" w:rsidP="00000000" w:rsidRDefault="00000000" w:rsidRPr="00000000" w14:paraId="0000003B">
            <w:pPr>
              <w:spacing w:after="160" w:line="259" w:lineRule="auto"/>
              <w:rPr/>
            </w:pPr>
            <w:r w:rsidDel="00000000" w:rsidR="00000000" w:rsidRPr="00000000">
              <w:rPr>
                <w:rtl w:val="0"/>
              </w:rPr>
              <w:t xml:space="preserve">- Examine the environmental impacts of development and efforts toward sustainability.</w:t>
            </w:r>
          </w:p>
          <w:p w:rsidR="00000000" w:rsidDel="00000000" w:rsidP="00000000" w:rsidRDefault="00000000" w:rsidRPr="00000000" w14:paraId="0000003C">
            <w:pPr>
              <w:spacing w:after="160" w:line="259" w:lineRule="auto"/>
              <w:rPr>
                <w:b w:val="1"/>
              </w:rPr>
            </w:pPr>
            <w:r w:rsidDel="00000000" w:rsidR="00000000" w:rsidRPr="00000000">
              <w:rPr>
                <w:b w:val="1"/>
                <w:rtl w:val="0"/>
              </w:rPr>
              <w:t xml:space="preserve">Key Skills Practiced</w:t>
            </w:r>
          </w:p>
          <w:p w:rsidR="00000000" w:rsidDel="00000000" w:rsidP="00000000" w:rsidRDefault="00000000" w:rsidRPr="00000000" w14:paraId="0000003D">
            <w:pPr>
              <w:spacing w:after="160" w:line="259" w:lineRule="auto"/>
              <w:rPr/>
            </w:pPr>
            <w:r w:rsidDel="00000000" w:rsidR="00000000" w:rsidRPr="00000000">
              <w:rPr>
                <w:rtl w:val="0"/>
              </w:rPr>
              <w:t xml:space="preserve">- Analyzing quantitative and qualitative data</w:t>
            </w:r>
          </w:p>
          <w:p w:rsidR="00000000" w:rsidDel="00000000" w:rsidP="00000000" w:rsidRDefault="00000000" w:rsidRPr="00000000" w14:paraId="0000003E">
            <w:pPr>
              <w:spacing w:after="160" w:line="259" w:lineRule="auto"/>
              <w:rPr/>
            </w:pPr>
            <w:r w:rsidDel="00000000" w:rsidR="00000000" w:rsidRPr="00000000">
              <w:rPr>
                <w:rtl w:val="0"/>
              </w:rPr>
              <w:t xml:space="preserve">- Comparing and contrasting different measures and approaches</w:t>
            </w:r>
          </w:p>
          <w:p w:rsidR="00000000" w:rsidDel="00000000" w:rsidP="00000000" w:rsidRDefault="00000000" w:rsidRPr="00000000" w14:paraId="0000003F">
            <w:pPr>
              <w:spacing w:after="160" w:line="259" w:lineRule="auto"/>
              <w:rPr/>
            </w:pPr>
            <w:r w:rsidDel="00000000" w:rsidR="00000000" w:rsidRPr="00000000">
              <w:rPr>
                <w:rtl w:val="0"/>
              </w:rPr>
              <w:t xml:space="preserve">- Evaluating the strengths and limitations of various metrics</w:t>
            </w:r>
          </w:p>
          <w:p w:rsidR="00000000" w:rsidDel="00000000" w:rsidP="00000000" w:rsidRDefault="00000000" w:rsidRPr="00000000" w14:paraId="00000040">
            <w:pPr>
              <w:spacing w:after="160" w:line="259" w:lineRule="auto"/>
              <w:rPr/>
            </w:pPr>
            <w:r w:rsidDel="00000000" w:rsidR="00000000" w:rsidRPr="00000000">
              <w:rPr>
                <w:rtl w:val="0"/>
              </w:rPr>
              <w:t xml:space="preserve">- Proposing and defending new ideas or approaches</w:t>
            </w:r>
          </w:p>
          <w:p w:rsidR="00000000" w:rsidDel="00000000" w:rsidP="00000000" w:rsidRDefault="00000000" w:rsidRPr="00000000" w14:paraId="00000041">
            <w:pPr>
              <w:spacing w:after="160" w:line="259" w:lineRule="auto"/>
              <w:rPr/>
            </w:pPr>
            <w:r w:rsidDel="00000000" w:rsidR="00000000" w:rsidRPr="00000000">
              <w:rPr>
                <w:rtl w:val="0"/>
              </w:rPr>
            </w:r>
          </w:p>
          <w:p w:rsidR="00000000" w:rsidDel="00000000" w:rsidP="00000000" w:rsidRDefault="00000000" w:rsidRPr="00000000" w14:paraId="00000042">
            <w:pPr>
              <w:spacing w:after="160" w:line="259" w:lineRule="auto"/>
              <w:rPr/>
            </w:pPr>
            <w:r w:rsidDel="00000000" w:rsidR="00000000" w:rsidRPr="00000000">
              <w:rPr>
                <w:rtl w:val="0"/>
              </w:rPr>
              <w:t xml:space="preserve">This lesson helps students develop a nuanced understanding of economic development, encouraging critical thinking about how we measure progress and success on a national and global scale. It aligns well with broader educational goals of promoting analytical skills, global awareness, and multifaceted approaches to complex issues.</w:t>
            </w:r>
          </w:p>
          <w:p w:rsidR="00000000" w:rsidDel="00000000" w:rsidP="00000000" w:rsidRDefault="00000000" w:rsidRPr="00000000" w14:paraId="00000043">
            <w:pPr>
              <w:spacing w:after="160" w:line="259" w:lineRule="auto"/>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LEARNING TARGETS/OBJECTIVES</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Knowledge and Understanding</w:t>
            </w:r>
          </w:p>
          <w:p w:rsidR="00000000" w:rsidDel="00000000" w:rsidP="00000000" w:rsidRDefault="00000000" w:rsidRPr="00000000" w14:paraId="0000004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Define and explain traditional economic development measures (e.g., GDP per capita, HDI)</w:t>
            </w:r>
          </w:p>
          <w:p w:rsidR="00000000" w:rsidDel="00000000" w:rsidP="00000000" w:rsidRDefault="00000000" w:rsidRPr="00000000" w14:paraId="0000004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Identify the strengths and limitations of traditional economic measures</w:t>
            </w:r>
          </w:p>
          <w:p w:rsidR="00000000" w:rsidDel="00000000" w:rsidP="00000000" w:rsidRDefault="00000000" w:rsidRPr="00000000" w14:paraId="0000004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Describe the key aspects of South Korea's economic development</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Analysis and Evaluation</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Analyze the effectiveness of different economic measures in capturing overall development</w:t>
            </w:r>
          </w:p>
          <w:p w:rsidR="00000000" w:rsidDel="00000000" w:rsidP="00000000" w:rsidRDefault="00000000" w:rsidRPr="00000000" w14:paraId="0000005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Evaluate the impact of rapid development on different segments of society using South Korea as a case study</w:t>
            </w:r>
          </w:p>
          <w:p w:rsidR="00000000" w:rsidDel="00000000" w:rsidP="00000000" w:rsidRDefault="00000000" w:rsidRPr="00000000" w14:paraId="0000005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Compare and contrast various approaches to measuring economic development</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Critical Thinking and Creativity</w:t>
            </w:r>
          </w:p>
          <w:p w:rsidR="00000000" w:rsidDel="00000000" w:rsidP="00000000" w:rsidRDefault="00000000" w:rsidRPr="00000000" w14:paraId="0000005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7. Propose a new or revised measure of development that addresses limitations of existing measures</w:t>
            </w:r>
          </w:p>
          <w:p w:rsidR="00000000" w:rsidDel="00000000" w:rsidP="00000000" w:rsidRDefault="00000000" w:rsidRPr="00000000" w14:paraId="0000005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8. Justify the importance of considering multiple factors in assessing a country's development</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Application and Real-World Connection</w:t>
            </w:r>
          </w:p>
          <w:p w:rsidR="00000000" w:rsidDel="00000000" w:rsidP="00000000" w:rsidRDefault="00000000" w:rsidRPr="00000000" w14:paraId="0000005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Apply knowledge of development measures to assess the development status of specific countries</w:t>
            </w:r>
          </w:p>
          <w:p w:rsidR="00000000" w:rsidDel="00000000" w:rsidP="00000000" w:rsidRDefault="00000000" w:rsidRPr="00000000" w14:paraId="0000005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Explain how different measures of development might lead to different policy priorities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Communication and Collaboration</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Articulate complex ideas about economic development measures clearly and concisely</w:t>
            </w:r>
          </w:p>
          <w:p w:rsidR="00000000" w:rsidDel="00000000" w:rsidP="00000000" w:rsidRDefault="00000000" w:rsidRPr="00000000" w14:paraId="0000005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Collaborate effectively in small groups to analyze case studies and propose new measures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Reflection</w:t>
            </w:r>
          </w:p>
          <w:p w:rsidR="00000000" w:rsidDel="00000000" w:rsidP="00000000" w:rsidRDefault="00000000" w:rsidRPr="00000000" w14:paraId="0000006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Reflect on how personal understanding of economic development has evolved through the lesson</w:t>
            </w:r>
          </w:p>
          <w:p w:rsidR="00000000" w:rsidDel="00000000" w:rsidP="00000000" w:rsidRDefault="00000000" w:rsidRPr="00000000" w14:paraId="0000006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Identify remaining questions or areas of uncertainty regarding economic development measurement</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These targets and objectives cover a range of cognitive skills and learning outcomes, from basic understanding to higher-order thinking, appropriate for 11th grade students studying economic development.</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w:t>
            </w:r>
            <w:r w:rsidDel="00000000" w:rsidR="00000000" w:rsidRPr="00000000">
              <w:rPr>
                <w:b w:val="1"/>
                <w:rtl w:val="0"/>
              </w:rPr>
              <w:t xml:space="preserve">SUMMARY (brief paragraph)</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rFonts w:ascii="Arial" w:cs="Arial" w:eastAsia="Arial" w:hAnsi="Arial"/>
                <w:sz w:val="22"/>
                <w:szCs w:val="22"/>
                <w:rtl w:val="0"/>
              </w:rPr>
              <w:t xml:space="preserve">This lesson explores the complexities of measuring economic development, using South Korea as a case study. Students analyze traditional economic measures like GDP per capita, examining their strengths and limitations. They then investigate South Korea's rapid development, considering both positive outcomes and challenges. The lesson encourages critical thinking about what truly constitutes "development" by having students propose new, more holistic measures that incorporate factors like environmental sustainability, social well-being, and cultural preservation. Through these activities, students gain a deeper understanding of the multifaceted nature of development and the importance of looking beyond simple economic indicators when assessing a country's progress. The lesson concludes with a reflection on how different measures of development can lead to varying policy priorities and outcomes for countries.</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73">
            <w:pPr>
              <w:jc w:val="center"/>
              <w:rPr>
                <w:sz w:val="8"/>
                <w:szCs w:val="8"/>
              </w:rPr>
            </w:pPr>
            <w:r w:rsidDel="00000000" w:rsidR="00000000" w:rsidRPr="00000000">
              <w:rPr>
                <w:rtl w:val="0"/>
              </w:rPr>
            </w:r>
          </w:p>
          <w:p w:rsidR="00000000" w:rsidDel="00000000" w:rsidP="00000000" w:rsidRDefault="00000000" w:rsidRPr="00000000" w14:paraId="00000074">
            <w:pPr>
              <w:jc w:val="center"/>
              <w:rPr>
                <w:b w:val="1"/>
              </w:rPr>
            </w:pPr>
            <w:r w:rsidDel="00000000" w:rsidR="00000000" w:rsidRPr="00000000">
              <w:rPr>
                <w:b w:val="1"/>
                <w:rtl w:val="0"/>
              </w:rPr>
              <w:t xml:space="preserve">LESSON PROCEDURES (step by step teacher instructions)</w:t>
            </w:r>
          </w:p>
          <w:p w:rsidR="00000000" w:rsidDel="00000000" w:rsidP="00000000" w:rsidRDefault="00000000" w:rsidRPr="00000000" w14:paraId="00000075">
            <w:pPr>
              <w:jc w:val="center"/>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sz w:val="28"/>
                <w:szCs w:val="28"/>
                <w:u w:val="single"/>
              </w:rPr>
            </w:pPr>
            <w:r w:rsidDel="00000000" w:rsidR="00000000" w:rsidRPr="00000000">
              <w:rPr>
                <w:b w:val="1"/>
                <w:sz w:val="28"/>
                <w:szCs w:val="28"/>
                <w:u w:val="single"/>
                <w:rtl w:val="0"/>
              </w:rPr>
              <w:t xml:space="preserve">Preparation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1. Review all lesson materials, including student handouts, case studies, and data sources.</w:t>
            </w:r>
          </w:p>
          <w:p w:rsidR="00000000" w:rsidDel="00000000" w:rsidP="00000000" w:rsidRDefault="00000000" w:rsidRPr="00000000" w14:paraId="0000007A">
            <w:pPr>
              <w:rPr/>
            </w:pPr>
            <w:r w:rsidDel="00000000" w:rsidR="00000000" w:rsidRPr="00000000">
              <w:rPr>
                <w:rtl w:val="0"/>
              </w:rPr>
              <w:t xml:space="preserve">2. Prepare copies of student materials or ensure digital access.</w:t>
            </w:r>
          </w:p>
          <w:p w:rsidR="00000000" w:rsidDel="00000000" w:rsidP="00000000" w:rsidRDefault="00000000" w:rsidRPr="00000000" w14:paraId="0000007B">
            <w:pPr>
              <w:rPr/>
            </w:pPr>
            <w:r w:rsidDel="00000000" w:rsidR="00000000" w:rsidRPr="00000000">
              <w:rPr>
                <w:rtl w:val="0"/>
              </w:rPr>
              <w:t xml:space="preserve">3. Set up classroom for group work and presentations.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sz w:val="28"/>
                <w:szCs w:val="28"/>
                <w:u w:val="single"/>
              </w:rPr>
            </w:pPr>
            <w:r w:rsidDel="00000000" w:rsidR="00000000" w:rsidRPr="00000000">
              <w:rPr>
                <w:b w:val="1"/>
                <w:sz w:val="28"/>
                <w:szCs w:val="28"/>
                <w:u w:val="single"/>
                <w:rtl w:val="0"/>
              </w:rPr>
              <w:t xml:space="preserve">Lesson Flow</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sz w:val="26"/>
                <w:szCs w:val="26"/>
              </w:rPr>
            </w:pPr>
            <w:r w:rsidDel="00000000" w:rsidR="00000000" w:rsidRPr="00000000">
              <w:rPr>
                <w:b w:val="1"/>
                <w:sz w:val="26"/>
                <w:szCs w:val="26"/>
                <w:rtl w:val="0"/>
              </w:rPr>
              <w:t xml:space="preserve">I. Introduction (10 minutes)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numPr>
                <w:ilvl w:val="0"/>
                <w:numId w:val="1"/>
              </w:numPr>
              <w:ind w:left="720" w:hanging="360"/>
              <w:rPr>
                <w:u w:val="none"/>
              </w:rPr>
            </w:pPr>
            <w:r w:rsidDel="00000000" w:rsidR="00000000" w:rsidRPr="00000000">
              <w:rPr>
                <w:rtl w:val="0"/>
              </w:rPr>
              <w:t xml:space="preserve">Introduce</w:t>
            </w:r>
            <w:r w:rsidDel="00000000" w:rsidR="00000000" w:rsidRPr="00000000">
              <w:rPr>
                <w:rtl w:val="0"/>
              </w:rPr>
              <w:t xml:space="preserve"> the focus question: "How can we more accurately and comprehensively measure a country's level of development?"</w:t>
            </w:r>
          </w:p>
          <w:p w:rsidR="00000000" w:rsidDel="00000000" w:rsidP="00000000" w:rsidRDefault="00000000" w:rsidRPr="00000000" w14:paraId="00000082">
            <w:pPr>
              <w:numPr>
                <w:ilvl w:val="0"/>
                <w:numId w:val="1"/>
              </w:numPr>
              <w:ind w:left="720" w:hanging="360"/>
              <w:rPr>
                <w:u w:val="none"/>
              </w:rPr>
            </w:pPr>
            <w:r w:rsidDel="00000000" w:rsidR="00000000" w:rsidRPr="00000000">
              <w:rPr>
                <w:rtl w:val="0"/>
              </w:rPr>
              <w:t xml:space="preserve">Have students brainstorm as many different ways we can measure a country’s level of development individually (2-3 minutes). </w:t>
            </w:r>
          </w:p>
          <w:p w:rsidR="00000000" w:rsidDel="00000000" w:rsidP="00000000" w:rsidRDefault="00000000" w:rsidRPr="00000000" w14:paraId="00000083">
            <w:pPr>
              <w:numPr>
                <w:ilvl w:val="0"/>
                <w:numId w:val="1"/>
              </w:numPr>
              <w:ind w:left="720" w:hanging="360"/>
              <w:rPr>
                <w:u w:val="none"/>
              </w:rPr>
            </w:pPr>
            <w:r w:rsidDel="00000000" w:rsidR="00000000" w:rsidRPr="00000000">
              <w:rPr>
                <w:rtl w:val="0"/>
              </w:rPr>
              <w:t xml:space="preserve">Have students share their answers with a partner (1-2 minutes).</w:t>
            </w:r>
          </w:p>
          <w:p w:rsidR="00000000" w:rsidDel="00000000" w:rsidP="00000000" w:rsidRDefault="00000000" w:rsidRPr="00000000" w14:paraId="00000084">
            <w:pPr>
              <w:numPr>
                <w:ilvl w:val="0"/>
                <w:numId w:val="1"/>
              </w:numPr>
              <w:ind w:left="720" w:hanging="360"/>
              <w:rPr>
                <w:u w:val="none"/>
              </w:rPr>
            </w:pPr>
            <w:r w:rsidDel="00000000" w:rsidR="00000000" w:rsidRPr="00000000">
              <w:rPr>
                <w:rtl w:val="0"/>
              </w:rPr>
              <w:t xml:space="preserve">Call on student pairs to share their answers with the class and write their answers on the board. Have other classmates provide the strengths and weaknesses of each suggestion (5 minutes).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sz w:val="26"/>
                <w:szCs w:val="26"/>
              </w:rPr>
            </w:pPr>
            <w:r w:rsidDel="00000000" w:rsidR="00000000" w:rsidRPr="00000000">
              <w:rPr>
                <w:b w:val="1"/>
                <w:sz w:val="26"/>
                <w:szCs w:val="26"/>
                <w:rtl w:val="0"/>
              </w:rPr>
              <w:t xml:space="preserve">II. Economic Measures Analysis (20 minutes)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numPr>
                <w:ilvl w:val="0"/>
                <w:numId w:val="4"/>
              </w:numPr>
              <w:ind w:left="720" w:hanging="360"/>
              <w:rPr>
                <w:u w:val="none"/>
              </w:rPr>
            </w:pPr>
            <w:r w:rsidDel="00000000" w:rsidR="00000000" w:rsidRPr="00000000">
              <w:rPr>
                <w:rtl w:val="0"/>
              </w:rPr>
              <w:t xml:space="preserve">Divide class into small groups (3-4 students).</w:t>
            </w:r>
          </w:p>
          <w:p w:rsidR="00000000" w:rsidDel="00000000" w:rsidP="00000000" w:rsidRDefault="00000000" w:rsidRPr="00000000" w14:paraId="00000089">
            <w:pPr>
              <w:numPr>
                <w:ilvl w:val="0"/>
                <w:numId w:val="4"/>
              </w:numPr>
              <w:ind w:left="720" w:hanging="360"/>
              <w:rPr>
                <w:u w:val="none"/>
              </w:rPr>
            </w:pPr>
            <w:r w:rsidDel="00000000" w:rsidR="00000000" w:rsidRPr="00000000">
              <w:rPr>
                <w:rtl w:val="0"/>
              </w:rPr>
              <w:t xml:space="preserve">Hand out the </w:t>
            </w:r>
            <w:hyperlink r:id="rId7">
              <w:r w:rsidDel="00000000" w:rsidR="00000000" w:rsidRPr="00000000">
                <w:rPr>
                  <w:color w:val="1155cc"/>
                  <w:u w:val="single"/>
                  <w:rtl w:val="0"/>
                </w:rPr>
                <w:t xml:space="preserve">Economic Measures Handout</w:t>
              </w:r>
            </w:hyperlink>
            <w:r w:rsidDel="00000000" w:rsidR="00000000" w:rsidRPr="00000000">
              <w:rPr>
                <w:rtl w:val="0"/>
              </w:rPr>
              <w:t xml:space="preserve">.</w:t>
            </w:r>
          </w:p>
          <w:p w:rsidR="00000000" w:rsidDel="00000000" w:rsidP="00000000" w:rsidRDefault="00000000" w:rsidRPr="00000000" w14:paraId="0000008A">
            <w:pPr>
              <w:numPr>
                <w:ilvl w:val="0"/>
                <w:numId w:val="4"/>
              </w:numPr>
              <w:ind w:left="720" w:hanging="360"/>
              <w:rPr>
                <w:u w:val="none"/>
              </w:rPr>
            </w:pPr>
            <w:r w:rsidDel="00000000" w:rsidR="00000000" w:rsidRPr="00000000">
              <w:rPr>
                <w:rtl w:val="0"/>
              </w:rPr>
              <w:t xml:space="preserve">Assign each group a different key economic measure from the seven provided in the </w:t>
            </w:r>
            <w:hyperlink r:id="rId8">
              <w:r w:rsidDel="00000000" w:rsidR="00000000" w:rsidRPr="00000000">
                <w:rPr>
                  <w:color w:val="1155cc"/>
                  <w:u w:val="single"/>
                  <w:rtl w:val="0"/>
                </w:rPr>
                <w:t xml:space="preserve">Economic Measures Analysis Handout</w:t>
              </w:r>
            </w:hyperlink>
            <w:r w:rsidDel="00000000" w:rsidR="00000000" w:rsidRPr="00000000">
              <w:rPr>
                <w:rtl w:val="0"/>
              </w:rPr>
              <w:t xml:space="preserve">.</w:t>
            </w:r>
          </w:p>
          <w:p w:rsidR="00000000" w:rsidDel="00000000" w:rsidP="00000000" w:rsidRDefault="00000000" w:rsidRPr="00000000" w14:paraId="0000008B">
            <w:pPr>
              <w:numPr>
                <w:ilvl w:val="0"/>
                <w:numId w:val="4"/>
              </w:numPr>
              <w:ind w:left="720" w:hanging="360"/>
              <w:rPr>
                <w:u w:val="none"/>
              </w:rPr>
            </w:pPr>
            <w:r w:rsidDel="00000000" w:rsidR="00000000" w:rsidRPr="00000000">
              <w:rPr>
                <w:rtl w:val="0"/>
              </w:rPr>
              <w:t xml:space="preserve">Distribute the </w:t>
            </w:r>
            <w:hyperlink r:id="rId9">
              <w:r w:rsidDel="00000000" w:rsidR="00000000" w:rsidRPr="00000000">
                <w:rPr>
                  <w:color w:val="1155cc"/>
                  <w:u w:val="single"/>
                  <w:rtl w:val="0"/>
                </w:rPr>
                <w:t xml:space="preserve">Economic Measures Analysis Handout</w:t>
              </w:r>
            </w:hyperlink>
            <w:r w:rsidDel="00000000" w:rsidR="00000000" w:rsidRPr="00000000">
              <w:rPr>
                <w:rtl w:val="0"/>
              </w:rPr>
              <w:t xml:space="preserve"> to each group.</w:t>
            </w:r>
          </w:p>
          <w:p w:rsidR="00000000" w:rsidDel="00000000" w:rsidP="00000000" w:rsidRDefault="00000000" w:rsidRPr="00000000" w14:paraId="0000008C">
            <w:pPr>
              <w:numPr>
                <w:ilvl w:val="1"/>
                <w:numId w:val="4"/>
              </w:numPr>
              <w:ind w:left="1440" w:hanging="360"/>
            </w:pPr>
            <w:hyperlink r:id="rId10">
              <w:r w:rsidDel="00000000" w:rsidR="00000000" w:rsidRPr="00000000">
                <w:rPr>
                  <w:color w:val="1155cc"/>
                  <w:u w:val="single"/>
                  <w:rtl w:val="0"/>
                </w:rPr>
                <w:t xml:space="preserve">Economic Measures Analysis Handout Sample Answer</w:t>
              </w:r>
            </w:hyperlink>
            <w:r w:rsidDel="00000000" w:rsidR="00000000" w:rsidRPr="00000000">
              <w:rPr>
                <w:rtl w:val="0"/>
              </w:rPr>
            </w:r>
          </w:p>
          <w:p w:rsidR="00000000" w:rsidDel="00000000" w:rsidP="00000000" w:rsidRDefault="00000000" w:rsidRPr="00000000" w14:paraId="0000008D">
            <w:pPr>
              <w:numPr>
                <w:ilvl w:val="0"/>
                <w:numId w:val="4"/>
              </w:numPr>
              <w:ind w:left="720" w:hanging="360"/>
              <w:rPr>
                <w:u w:val="none"/>
              </w:rPr>
            </w:pPr>
            <w:r w:rsidDel="00000000" w:rsidR="00000000" w:rsidRPr="00000000">
              <w:rPr>
                <w:rtl w:val="0"/>
              </w:rPr>
              <w:t xml:space="preserve">Give groups 10-12 minutes to complete their analysis.</w:t>
            </w:r>
          </w:p>
          <w:p w:rsidR="00000000" w:rsidDel="00000000" w:rsidP="00000000" w:rsidRDefault="00000000" w:rsidRPr="00000000" w14:paraId="0000008E">
            <w:pPr>
              <w:numPr>
                <w:ilvl w:val="0"/>
                <w:numId w:val="4"/>
              </w:numPr>
              <w:ind w:left="720" w:hanging="360"/>
              <w:rPr>
                <w:u w:val="none"/>
              </w:rPr>
            </w:pPr>
            <w:r w:rsidDel="00000000" w:rsidR="00000000" w:rsidRPr="00000000">
              <w:rPr>
                <w:rtl w:val="0"/>
              </w:rPr>
              <w:t xml:space="preserve">Have each group briefly present their findings (1-2 minutes each).</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sz w:val="26"/>
                <w:szCs w:val="26"/>
              </w:rPr>
            </w:pPr>
            <w:r w:rsidDel="00000000" w:rsidR="00000000" w:rsidRPr="00000000">
              <w:rPr>
                <w:b w:val="1"/>
                <w:sz w:val="26"/>
                <w:szCs w:val="26"/>
                <w:rtl w:val="0"/>
              </w:rPr>
              <w:t xml:space="preserve">III. South Korea Case Study (20 minutes)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numPr>
                <w:ilvl w:val="0"/>
                <w:numId w:val="7"/>
              </w:numPr>
              <w:ind w:left="720" w:hanging="360"/>
              <w:rPr>
                <w:u w:val="none"/>
              </w:rPr>
            </w:pPr>
            <w:r w:rsidDel="00000000" w:rsidR="00000000" w:rsidRPr="00000000">
              <w:rPr>
                <w:rtl w:val="0"/>
              </w:rPr>
              <w:t xml:space="preserve">Have students remain in their same groups from the previous activity.</w:t>
            </w:r>
          </w:p>
          <w:p w:rsidR="00000000" w:rsidDel="00000000" w:rsidP="00000000" w:rsidRDefault="00000000" w:rsidRPr="00000000" w14:paraId="00000094">
            <w:pPr>
              <w:numPr>
                <w:ilvl w:val="0"/>
                <w:numId w:val="7"/>
              </w:numPr>
              <w:ind w:left="720" w:hanging="360"/>
              <w:rPr>
                <w:u w:val="none"/>
              </w:rPr>
            </w:pPr>
            <w:r w:rsidDel="00000000" w:rsidR="00000000" w:rsidRPr="00000000">
              <w:rPr>
                <w:rtl w:val="0"/>
              </w:rPr>
              <w:t xml:space="preserve">Distribute the </w:t>
            </w:r>
            <w:hyperlink r:id="rId11">
              <w:r w:rsidDel="00000000" w:rsidR="00000000" w:rsidRPr="00000000">
                <w:rPr>
                  <w:color w:val="1155cc"/>
                  <w:u w:val="single"/>
                  <w:rtl w:val="0"/>
                </w:rPr>
                <w:t xml:space="preserve">South Korea Development Case Studies</w:t>
              </w:r>
            </w:hyperlink>
            <w:r w:rsidDel="00000000" w:rsidR="00000000" w:rsidRPr="00000000">
              <w:rPr>
                <w:rtl w:val="0"/>
              </w:rPr>
              <w:t xml:space="preserve"> to each group.</w:t>
            </w:r>
            <w:r w:rsidDel="00000000" w:rsidR="00000000" w:rsidRPr="00000000">
              <w:rPr>
                <w:rtl w:val="0"/>
              </w:rPr>
            </w:r>
          </w:p>
          <w:p w:rsidR="00000000" w:rsidDel="00000000" w:rsidP="00000000" w:rsidRDefault="00000000" w:rsidRPr="00000000" w14:paraId="00000095">
            <w:pPr>
              <w:numPr>
                <w:ilvl w:val="0"/>
                <w:numId w:val="7"/>
              </w:numPr>
              <w:ind w:left="720" w:hanging="360"/>
              <w:rPr>
                <w:u w:val="none"/>
              </w:rPr>
            </w:pPr>
            <w:r w:rsidDel="00000000" w:rsidR="00000000" w:rsidRPr="00000000">
              <w:rPr>
                <w:rtl w:val="0"/>
              </w:rPr>
              <w:t xml:space="preserve">Have students read the case study individually (5 minutes).</w:t>
            </w:r>
          </w:p>
          <w:p w:rsidR="00000000" w:rsidDel="00000000" w:rsidP="00000000" w:rsidRDefault="00000000" w:rsidRPr="00000000" w14:paraId="00000096">
            <w:pPr>
              <w:numPr>
                <w:ilvl w:val="0"/>
                <w:numId w:val="7"/>
              </w:numPr>
              <w:ind w:left="720" w:hanging="360"/>
              <w:rPr>
                <w:u w:val="none"/>
              </w:rPr>
            </w:pPr>
            <w:r w:rsidDel="00000000" w:rsidR="00000000" w:rsidRPr="00000000">
              <w:rPr>
                <w:rtl w:val="0"/>
              </w:rPr>
              <w:t xml:space="preserve">In their groups, have students discuss and answer the questions in the </w:t>
            </w:r>
            <w:hyperlink r:id="rId12">
              <w:r w:rsidDel="00000000" w:rsidR="00000000" w:rsidRPr="00000000">
                <w:rPr>
                  <w:color w:val="1155cc"/>
                  <w:u w:val="single"/>
                  <w:rtl w:val="0"/>
                </w:rPr>
                <w:t xml:space="preserve">South Korean Case Study Activity</w:t>
              </w:r>
            </w:hyperlink>
            <w:r w:rsidDel="00000000" w:rsidR="00000000" w:rsidRPr="00000000">
              <w:rPr>
                <w:rtl w:val="0"/>
              </w:rPr>
              <w:t xml:space="preserve"> </w:t>
            </w:r>
            <w:r w:rsidDel="00000000" w:rsidR="00000000" w:rsidRPr="00000000">
              <w:rPr>
                <w:rtl w:val="0"/>
              </w:rPr>
              <w:t xml:space="preserve">(10 minutes).</w:t>
            </w:r>
          </w:p>
          <w:p w:rsidR="00000000" w:rsidDel="00000000" w:rsidP="00000000" w:rsidRDefault="00000000" w:rsidRPr="00000000" w14:paraId="00000097">
            <w:pPr>
              <w:numPr>
                <w:ilvl w:val="1"/>
                <w:numId w:val="7"/>
              </w:numPr>
              <w:ind w:left="1440" w:hanging="360"/>
            </w:pPr>
            <w:hyperlink r:id="rId13">
              <w:r w:rsidDel="00000000" w:rsidR="00000000" w:rsidRPr="00000000">
                <w:rPr>
                  <w:color w:val="1155cc"/>
                  <w:u w:val="single"/>
                  <w:rtl w:val="0"/>
                </w:rPr>
                <w:t xml:space="preserve">South Korean Case Study Activity Sample Answers</w:t>
              </w:r>
            </w:hyperlink>
            <w:r w:rsidDel="00000000" w:rsidR="00000000" w:rsidRPr="00000000">
              <w:rPr>
                <w:rtl w:val="0"/>
              </w:rPr>
            </w:r>
          </w:p>
          <w:p w:rsidR="00000000" w:rsidDel="00000000" w:rsidP="00000000" w:rsidRDefault="00000000" w:rsidRPr="00000000" w14:paraId="00000098">
            <w:pPr>
              <w:numPr>
                <w:ilvl w:val="0"/>
                <w:numId w:val="7"/>
              </w:numPr>
              <w:ind w:left="720" w:hanging="360"/>
              <w:rPr>
                <w:u w:val="none"/>
              </w:rPr>
            </w:pPr>
            <w:r w:rsidDel="00000000" w:rsidR="00000000" w:rsidRPr="00000000">
              <w:rPr>
                <w:rtl w:val="0"/>
              </w:rPr>
              <w:t xml:space="preserve">Lead a whole-class discussion on key insights from the South Korean Case Studies (5 minutes).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sz w:val="26"/>
                <w:szCs w:val="26"/>
              </w:rPr>
            </w:pPr>
            <w:r w:rsidDel="00000000" w:rsidR="00000000" w:rsidRPr="00000000">
              <w:rPr>
                <w:b w:val="1"/>
                <w:sz w:val="26"/>
                <w:szCs w:val="26"/>
                <w:rtl w:val="0"/>
              </w:rPr>
              <w:t xml:space="preserve">IV. Reflection and Conclusion (10 minutes)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numPr>
                <w:ilvl w:val="0"/>
                <w:numId w:val="2"/>
              </w:numPr>
              <w:ind w:left="720" w:hanging="360"/>
              <w:rPr>
                <w:u w:val="none"/>
              </w:rPr>
            </w:pPr>
            <w:r w:rsidDel="00000000" w:rsidR="00000000" w:rsidRPr="00000000">
              <w:rPr>
                <w:rtl w:val="0"/>
              </w:rPr>
              <w:t xml:space="preserve">Distribute the </w:t>
            </w:r>
            <w:hyperlink r:id="rId14">
              <w:r w:rsidDel="00000000" w:rsidR="00000000" w:rsidRPr="00000000">
                <w:rPr>
                  <w:color w:val="1155cc"/>
                  <w:u w:val="single"/>
                  <w:rtl w:val="0"/>
                </w:rPr>
                <w:t xml:space="preserve">Exit Ticket: Reflection</w:t>
              </w:r>
            </w:hyperlink>
            <w:r w:rsidDel="00000000" w:rsidR="00000000" w:rsidRPr="00000000">
              <w:rPr>
                <w:rtl w:val="0"/>
              </w:rPr>
              <w:t xml:space="preserve"> worksheet.</w:t>
            </w:r>
          </w:p>
          <w:p w:rsidR="00000000" w:rsidDel="00000000" w:rsidP="00000000" w:rsidRDefault="00000000" w:rsidRPr="00000000" w14:paraId="0000009D">
            <w:pPr>
              <w:numPr>
                <w:ilvl w:val="1"/>
                <w:numId w:val="2"/>
              </w:numPr>
              <w:ind w:left="1440" w:hanging="360"/>
            </w:pPr>
            <w:hyperlink r:id="rId15">
              <w:r w:rsidDel="00000000" w:rsidR="00000000" w:rsidRPr="00000000">
                <w:rPr>
                  <w:color w:val="1155cc"/>
                  <w:u w:val="single"/>
                  <w:rtl w:val="0"/>
                </w:rPr>
                <w:t xml:space="preserve">Exit Ticket: Reflection Sample Answers</w:t>
              </w:r>
            </w:hyperlink>
            <w:r w:rsidDel="00000000" w:rsidR="00000000" w:rsidRPr="00000000">
              <w:rPr>
                <w:rtl w:val="0"/>
              </w:rPr>
            </w:r>
          </w:p>
          <w:p w:rsidR="00000000" w:rsidDel="00000000" w:rsidP="00000000" w:rsidRDefault="00000000" w:rsidRPr="00000000" w14:paraId="0000009E">
            <w:pPr>
              <w:numPr>
                <w:ilvl w:val="0"/>
                <w:numId w:val="2"/>
              </w:numPr>
              <w:ind w:left="720" w:hanging="360"/>
              <w:rPr>
                <w:u w:val="none"/>
              </w:rPr>
            </w:pPr>
            <w:r w:rsidDel="00000000" w:rsidR="00000000" w:rsidRPr="00000000">
              <w:rPr>
                <w:rtl w:val="0"/>
              </w:rPr>
              <w:t xml:space="preserve">Allow students 5-7 minutes to complete their reflections individually.</w:t>
            </w:r>
          </w:p>
          <w:p w:rsidR="00000000" w:rsidDel="00000000" w:rsidP="00000000" w:rsidRDefault="00000000" w:rsidRPr="00000000" w14:paraId="0000009F">
            <w:pPr>
              <w:numPr>
                <w:ilvl w:val="0"/>
                <w:numId w:val="2"/>
              </w:numPr>
              <w:ind w:left="720" w:hanging="360"/>
              <w:rPr>
                <w:u w:val="none"/>
              </w:rPr>
            </w:pPr>
            <w:r w:rsidDel="00000000" w:rsidR="00000000" w:rsidRPr="00000000">
              <w:rPr>
                <w:rtl w:val="0"/>
              </w:rPr>
              <w:t xml:space="preserve">Collect the exit tickets.</w:t>
            </w:r>
          </w:p>
          <w:p w:rsidR="00000000" w:rsidDel="00000000" w:rsidP="00000000" w:rsidRDefault="00000000" w:rsidRPr="00000000" w14:paraId="000000A0">
            <w:pPr>
              <w:numPr>
                <w:ilvl w:val="0"/>
                <w:numId w:val="2"/>
              </w:numPr>
              <w:ind w:left="720" w:hanging="360"/>
              <w:rPr>
                <w:u w:val="none"/>
              </w:rPr>
            </w:pPr>
            <w:r w:rsidDel="00000000" w:rsidR="00000000" w:rsidRPr="00000000">
              <w:rPr>
                <w:rtl w:val="0"/>
              </w:rPr>
              <w:t xml:space="preserve">Summarize key takeaways from the lesson and revisit the focus question.</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sz w:val="28"/>
                <w:szCs w:val="28"/>
                <w:u w:val="single"/>
              </w:rPr>
            </w:pPr>
            <w:r w:rsidDel="00000000" w:rsidR="00000000" w:rsidRPr="00000000">
              <w:rPr>
                <w:b w:val="1"/>
                <w:sz w:val="28"/>
                <w:szCs w:val="28"/>
                <w:u w:val="single"/>
                <w:rtl w:val="0"/>
              </w:rPr>
              <w:t xml:space="preserve">Post-Lesson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numPr>
                <w:ilvl w:val="0"/>
                <w:numId w:val="3"/>
              </w:numPr>
              <w:ind w:left="720" w:hanging="360"/>
              <w:rPr>
                <w:u w:val="none"/>
              </w:rPr>
            </w:pPr>
            <w:r w:rsidDel="00000000" w:rsidR="00000000" w:rsidRPr="00000000">
              <w:rPr>
                <w:rtl w:val="0"/>
              </w:rPr>
              <w:t xml:space="preserve">Review student exit tickets to gauge understanding and identify areas for further discussion.</w:t>
            </w:r>
          </w:p>
          <w:p w:rsidR="00000000" w:rsidDel="00000000" w:rsidP="00000000" w:rsidRDefault="00000000" w:rsidRPr="00000000" w14:paraId="000000A5">
            <w:pPr>
              <w:ind w:left="720" w:firstLine="0"/>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Remember to adjust timing as needed based on class size and student engagement. Encourage critical thinking and respectful debate throughout the lesson.</w:t>
            </w:r>
          </w:p>
          <w:p w:rsidR="00000000" w:rsidDel="00000000" w:rsidP="00000000" w:rsidRDefault="00000000" w:rsidRPr="00000000" w14:paraId="000000A7">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A8">
            <w:pPr>
              <w:jc w:val="center"/>
              <w:rPr>
                <w:sz w:val="8"/>
                <w:szCs w:val="8"/>
              </w:rPr>
            </w:pPr>
            <w:r w:rsidDel="00000000" w:rsidR="00000000" w:rsidRPr="00000000">
              <w:rPr>
                <w:rtl w:val="0"/>
              </w:rPr>
            </w:r>
          </w:p>
          <w:p w:rsidR="00000000" w:rsidDel="00000000" w:rsidP="00000000" w:rsidRDefault="00000000" w:rsidRPr="00000000" w14:paraId="000000A9">
            <w:pPr>
              <w:jc w:val="center"/>
              <w:rPr>
                <w:sz w:val="8"/>
                <w:szCs w:val="8"/>
              </w:rPr>
            </w:pPr>
            <w:r w:rsidDel="00000000" w:rsidR="00000000" w:rsidRPr="00000000">
              <w:rPr>
                <w:b w:val="1"/>
                <w:rtl w:val="0"/>
              </w:rPr>
              <w:t xml:space="preserve">SUPPORTING MATERIALS (links, resources, handouts, etc.)</w:t>
            </w:r>
            <w:r w:rsidDel="00000000" w:rsidR="00000000" w:rsidRPr="00000000">
              <w:rPr>
                <w:rtl w:val="0"/>
              </w:rPr>
            </w:r>
          </w:p>
        </w:tc>
      </w:tr>
      <w:tr>
        <w:trPr>
          <w:cantSplit w:val="0"/>
          <w:tblHeader w:val="0"/>
        </w:trPr>
        <w:tc>
          <w:tcPr/>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b w:val="1"/>
                <w:color w:val="333333"/>
                <w:sz w:val="28"/>
                <w:szCs w:val="28"/>
                <w:highlight w:val="white"/>
              </w:rPr>
            </w:pPr>
            <w:r w:rsidDel="00000000" w:rsidR="00000000" w:rsidRPr="00000000">
              <w:rPr>
                <w:b w:val="1"/>
                <w:sz w:val="28"/>
                <w:szCs w:val="28"/>
                <w:rtl w:val="0"/>
              </w:rPr>
              <w:t xml:space="preserve">Links to Materials Discussed Above:</w:t>
            </w:r>
            <w:r w:rsidDel="00000000" w:rsidR="00000000" w:rsidRPr="00000000">
              <w:rPr>
                <w:rtl w:val="0"/>
              </w:rPr>
            </w:r>
          </w:p>
          <w:p w:rsidR="00000000" w:rsidDel="00000000" w:rsidP="00000000" w:rsidRDefault="00000000" w:rsidRPr="00000000" w14:paraId="000000AC">
            <w:pPr>
              <w:numPr>
                <w:ilvl w:val="0"/>
                <w:numId w:val="6"/>
              </w:numPr>
              <w:ind w:left="720" w:hanging="360"/>
              <w:rPr>
                <w:u w:val="none"/>
              </w:rPr>
            </w:pPr>
            <w:hyperlink r:id="rId16">
              <w:r w:rsidDel="00000000" w:rsidR="00000000" w:rsidRPr="00000000">
                <w:rPr>
                  <w:color w:val="1155cc"/>
                  <w:u w:val="single"/>
                  <w:rtl w:val="0"/>
                </w:rPr>
                <w:t xml:space="preserve">Economic Measures Handout</w:t>
              </w:r>
            </w:hyperlink>
            <w:r w:rsidDel="00000000" w:rsidR="00000000" w:rsidRPr="00000000">
              <w:rPr>
                <w:rtl w:val="0"/>
              </w:rPr>
            </w:r>
          </w:p>
          <w:p w:rsidR="00000000" w:rsidDel="00000000" w:rsidP="00000000" w:rsidRDefault="00000000" w:rsidRPr="00000000" w14:paraId="000000AD">
            <w:pPr>
              <w:numPr>
                <w:ilvl w:val="0"/>
                <w:numId w:val="6"/>
              </w:numPr>
              <w:ind w:left="720" w:hanging="360"/>
              <w:rPr>
                <w:u w:val="none"/>
              </w:rPr>
            </w:pPr>
            <w:hyperlink r:id="rId17">
              <w:r w:rsidDel="00000000" w:rsidR="00000000" w:rsidRPr="00000000">
                <w:rPr>
                  <w:color w:val="1155cc"/>
                  <w:u w:val="single"/>
                  <w:rtl w:val="0"/>
                </w:rPr>
                <w:t xml:space="preserve">Economic Measures Analysis Handout</w:t>
              </w:r>
            </w:hyperlink>
            <w:r w:rsidDel="00000000" w:rsidR="00000000" w:rsidRPr="00000000">
              <w:rPr>
                <w:rtl w:val="0"/>
              </w:rPr>
            </w:r>
          </w:p>
          <w:p w:rsidR="00000000" w:rsidDel="00000000" w:rsidP="00000000" w:rsidRDefault="00000000" w:rsidRPr="00000000" w14:paraId="000000AE">
            <w:pPr>
              <w:numPr>
                <w:ilvl w:val="0"/>
                <w:numId w:val="6"/>
              </w:numPr>
              <w:ind w:left="720" w:hanging="360"/>
              <w:rPr>
                <w:u w:val="none"/>
              </w:rPr>
            </w:pPr>
            <w:hyperlink r:id="rId18">
              <w:r w:rsidDel="00000000" w:rsidR="00000000" w:rsidRPr="00000000">
                <w:rPr>
                  <w:color w:val="1155cc"/>
                  <w:u w:val="single"/>
                  <w:rtl w:val="0"/>
                </w:rPr>
                <w:t xml:space="preserve">Economic Measures Analysis Handout Sample Answer</w:t>
              </w:r>
            </w:hyperlink>
            <w:r w:rsidDel="00000000" w:rsidR="00000000" w:rsidRPr="00000000">
              <w:rPr>
                <w:rtl w:val="0"/>
              </w:rPr>
            </w:r>
          </w:p>
          <w:p w:rsidR="00000000" w:rsidDel="00000000" w:rsidP="00000000" w:rsidRDefault="00000000" w:rsidRPr="00000000" w14:paraId="000000AF">
            <w:pPr>
              <w:numPr>
                <w:ilvl w:val="0"/>
                <w:numId w:val="6"/>
              </w:numPr>
              <w:ind w:left="720" w:hanging="360"/>
              <w:rPr>
                <w:u w:val="none"/>
              </w:rPr>
            </w:pPr>
            <w:hyperlink r:id="rId19">
              <w:r w:rsidDel="00000000" w:rsidR="00000000" w:rsidRPr="00000000">
                <w:rPr>
                  <w:color w:val="1155cc"/>
                  <w:u w:val="single"/>
                  <w:rtl w:val="0"/>
                </w:rPr>
                <w:t xml:space="preserve">South Korea Development Case Studies</w:t>
              </w:r>
            </w:hyperlink>
            <w:r w:rsidDel="00000000" w:rsidR="00000000" w:rsidRPr="00000000">
              <w:rPr>
                <w:rtl w:val="0"/>
              </w:rPr>
            </w:r>
          </w:p>
          <w:p w:rsidR="00000000" w:rsidDel="00000000" w:rsidP="00000000" w:rsidRDefault="00000000" w:rsidRPr="00000000" w14:paraId="000000B0">
            <w:pPr>
              <w:numPr>
                <w:ilvl w:val="0"/>
                <w:numId w:val="6"/>
              </w:numPr>
              <w:ind w:left="720" w:hanging="360"/>
              <w:rPr>
                <w:u w:val="none"/>
              </w:rPr>
            </w:pPr>
            <w:hyperlink r:id="rId20">
              <w:r w:rsidDel="00000000" w:rsidR="00000000" w:rsidRPr="00000000">
                <w:rPr>
                  <w:color w:val="1155cc"/>
                  <w:u w:val="single"/>
                  <w:rtl w:val="0"/>
                </w:rPr>
                <w:t xml:space="preserve">South Korean Case Study Activity</w:t>
              </w:r>
            </w:hyperlink>
            <w:r w:rsidDel="00000000" w:rsidR="00000000" w:rsidRPr="00000000">
              <w:rPr>
                <w:rtl w:val="0"/>
              </w:rPr>
            </w:r>
          </w:p>
          <w:p w:rsidR="00000000" w:rsidDel="00000000" w:rsidP="00000000" w:rsidRDefault="00000000" w:rsidRPr="00000000" w14:paraId="000000B1">
            <w:pPr>
              <w:numPr>
                <w:ilvl w:val="0"/>
                <w:numId w:val="6"/>
              </w:numPr>
              <w:ind w:left="720" w:hanging="360"/>
              <w:rPr>
                <w:u w:val="none"/>
              </w:rPr>
            </w:pPr>
            <w:hyperlink r:id="rId21">
              <w:r w:rsidDel="00000000" w:rsidR="00000000" w:rsidRPr="00000000">
                <w:rPr>
                  <w:color w:val="1155cc"/>
                  <w:u w:val="single"/>
                  <w:rtl w:val="0"/>
                </w:rPr>
                <w:t xml:space="preserve">South Korean Case Study Activity Sample Answers</w:t>
              </w:r>
            </w:hyperlink>
            <w:r w:rsidDel="00000000" w:rsidR="00000000" w:rsidRPr="00000000">
              <w:rPr>
                <w:rtl w:val="0"/>
              </w:rPr>
            </w:r>
          </w:p>
          <w:p w:rsidR="00000000" w:rsidDel="00000000" w:rsidP="00000000" w:rsidRDefault="00000000" w:rsidRPr="00000000" w14:paraId="000000B2">
            <w:pPr>
              <w:numPr>
                <w:ilvl w:val="0"/>
                <w:numId w:val="6"/>
              </w:numPr>
              <w:ind w:left="720" w:hanging="360"/>
              <w:rPr>
                <w:u w:val="none"/>
              </w:rPr>
            </w:pPr>
            <w:hyperlink r:id="rId22">
              <w:r w:rsidDel="00000000" w:rsidR="00000000" w:rsidRPr="00000000">
                <w:rPr>
                  <w:color w:val="1155cc"/>
                  <w:u w:val="single"/>
                  <w:rtl w:val="0"/>
                </w:rPr>
                <w:t xml:space="preserve">Exit Ticket: Reflection</w:t>
              </w:r>
            </w:hyperlink>
            <w:r w:rsidDel="00000000" w:rsidR="00000000" w:rsidRPr="00000000">
              <w:rPr>
                <w:rtl w:val="0"/>
              </w:rPr>
            </w:r>
          </w:p>
          <w:p w:rsidR="00000000" w:rsidDel="00000000" w:rsidP="00000000" w:rsidRDefault="00000000" w:rsidRPr="00000000" w14:paraId="000000B3">
            <w:pPr>
              <w:numPr>
                <w:ilvl w:val="0"/>
                <w:numId w:val="6"/>
              </w:numPr>
              <w:ind w:left="720" w:hanging="360"/>
              <w:rPr>
                <w:u w:val="none"/>
              </w:rPr>
            </w:pPr>
            <w:hyperlink r:id="rId23">
              <w:r w:rsidDel="00000000" w:rsidR="00000000" w:rsidRPr="00000000">
                <w:rPr>
                  <w:color w:val="1155cc"/>
                  <w:u w:val="single"/>
                  <w:rtl w:val="0"/>
                </w:rPr>
                <w:t xml:space="preserve">Exit Ticket: Reflection Sample Answers</w:t>
              </w:r>
            </w:hyperlink>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tc>
      </w:tr>
    </w:tbl>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ind w:left="-360" w:firstLine="0"/>
        <w:jc w:val="left"/>
        <w:rPr>
          <w:color w:val="0d0d0d"/>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sectPr>
      <w:headerReference r:id="rId24" w:type="default"/>
      <w:foot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473C"/>
    <w:pPr>
      <w:spacing w:after="0" w:line="240" w:lineRule="auto"/>
    </w:pPr>
    <w:rPr>
      <w:rFonts w:asciiTheme="minorHAnsi" w:cstheme="minorBidi" w:eastAsiaTheme="minorEastAsia" w:hAnsiTheme="minorHAnsi"/>
      <w:sz w:val="24"/>
      <w:szCs w:val="24"/>
    </w:rPr>
  </w:style>
  <w:style w:type="paragraph" w:styleId="Heading3">
    <w:name w:val="heading 3"/>
    <w:basedOn w:val="Normal"/>
    <w:link w:val="Heading3Char"/>
    <w:uiPriority w:val="9"/>
    <w:qFormat w:val="1"/>
    <w:rsid w:val="00545672"/>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47F04"/>
    <w:pPr>
      <w:spacing w:after="0" w:line="240" w:lineRule="auto"/>
    </w:pPr>
  </w:style>
  <w:style w:type="paragraph" w:styleId="Header">
    <w:name w:val="header"/>
    <w:basedOn w:val="Normal"/>
    <w:link w:val="HeaderChar"/>
    <w:uiPriority w:val="99"/>
    <w:unhideWhenUsed w:val="1"/>
    <w:rsid w:val="005E67F8"/>
    <w:pPr>
      <w:tabs>
        <w:tab w:val="center" w:pos="4680"/>
        <w:tab w:val="right" w:pos="9360"/>
      </w:tabs>
    </w:pPr>
  </w:style>
  <w:style w:type="character" w:styleId="HeaderChar" w:customStyle="1">
    <w:name w:val="Header Char"/>
    <w:basedOn w:val="DefaultParagraphFont"/>
    <w:link w:val="Header"/>
    <w:uiPriority w:val="99"/>
    <w:rsid w:val="005E67F8"/>
  </w:style>
  <w:style w:type="paragraph" w:styleId="Footer">
    <w:name w:val="footer"/>
    <w:basedOn w:val="Normal"/>
    <w:link w:val="FooterChar"/>
    <w:uiPriority w:val="99"/>
    <w:unhideWhenUsed w:val="1"/>
    <w:rsid w:val="005E67F8"/>
    <w:pPr>
      <w:tabs>
        <w:tab w:val="center" w:pos="4680"/>
        <w:tab w:val="right" w:pos="9360"/>
      </w:tabs>
    </w:pPr>
  </w:style>
  <w:style w:type="character" w:styleId="FooterChar" w:customStyle="1">
    <w:name w:val="Footer Char"/>
    <w:basedOn w:val="DefaultParagraphFont"/>
    <w:link w:val="Footer"/>
    <w:uiPriority w:val="99"/>
    <w:rsid w:val="005E67F8"/>
  </w:style>
  <w:style w:type="table" w:styleId="TableGrid">
    <w:name w:val="Table Grid"/>
    <w:basedOn w:val="TableNormal"/>
    <w:uiPriority w:val="59"/>
    <w:rsid w:val="005E67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7D5501"/>
    <w:pPr>
      <w:ind w:left="720"/>
      <w:contextualSpacing w:val="1"/>
    </w:pPr>
  </w:style>
  <w:style w:type="character" w:styleId="CommentReference">
    <w:name w:val="annotation reference"/>
    <w:basedOn w:val="DefaultParagraphFont"/>
    <w:uiPriority w:val="99"/>
    <w:semiHidden w:val="1"/>
    <w:unhideWhenUsed w:val="1"/>
    <w:rsid w:val="00484108"/>
    <w:rPr>
      <w:sz w:val="16"/>
      <w:szCs w:val="16"/>
    </w:rPr>
  </w:style>
  <w:style w:type="paragraph" w:styleId="CommentText">
    <w:name w:val="annotation text"/>
    <w:basedOn w:val="Normal"/>
    <w:link w:val="CommentTextChar"/>
    <w:uiPriority w:val="99"/>
    <w:semiHidden w:val="1"/>
    <w:unhideWhenUsed w:val="1"/>
    <w:rsid w:val="00484108"/>
    <w:rPr>
      <w:sz w:val="20"/>
      <w:szCs w:val="20"/>
    </w:rPr>
  </w:style>
  <w:style w:type="character" w:styleId="CommentTextChar" w:customStyle="1">
    <w:name w:val="Comment Text Char"/>
    <w:basedOn w:val="DefaultParagraphFont"/>
    <w:link w:val="CommentText"/>
    <w:uiPriority w:val="99"/>
    <w:semiHidden w:val="1"/>
    <w:rsid w:val="00484108"/>
    <w:rPr>
      <w:rFonts w:asciiTheme="minorHAnsi" w:cstheme="minorBidi" w:eastAsiaTheme="minorEastAsia" w:hAnsiTheme="minorHAnsi"/>
      <w:sz w:val="20"/>
      <w:szCs w:val="20"/>
    </w:rPr>
  </w:style>
  <w:style w:type="paragraph" w:styleId="CommentSubject">
    <w:name w:val="annotation subject"/>
    <w:basedOn w:val="CommentText"/>
    <w:next w:val="CommentText"/>
    <w:link w:val="CommentSubjectChar"/>
    <w:uiPriority w:val="99"/>
    <w:semiHidden w:val="1"/>
    <w:unhideWhenUsed w:val="1"/>
    <w:rsid w:val="00484108"/>
    <w:rPr>
      <w:b w:val="1"/>
      <w:bCs w:val="1"/>
    </w:rPr>
  </w:style>
  <w:style w:type="character" w:styleId="CommentSubjectChar" w:customStyle="1">
    <w:name w:val="Comment Subject Char"/>
    <w:basedOn w:val="CommentTextChar"/>
    <w:link w:val="CommentSubject"/>
    <w:uiPriority w:val="99"/>
    <w:semiHidden w:val="1"/>
    <w:rsid w:val="00484108"/>
    <w:rPr>
      <w:rFonts w:asciiTheme="minorHAnsi" w:cstheme="minorBidi" w:eastAsiaTheme="minorEastAsia" w:hAnsiTheme="minorHAnsi"/>
      <w:b w:val="1"/>
      <w:bCs w:val="1"/>
      <w:sz w:val="20"/>
      <w:szCs w:val="20"/>
    </w:rPr>
  </w:style>
  <w:style w:type="paragraph" w:styleId="BalloonText">
    <w:name w:val="Balloon Text"/>
    <w:basedOn w:val="Normal"/>
    <w:link w:val="BalloonTextChar"/>
    <w:uiPriority w:val="99"/>
    <w:semiHidden w:val="1"/>
    <w:unhideWhenUsed w:val="1"/>
    <w:rsid w:val="0048410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4108"/>
    <w:rPr>
      <w:rFonts w:ascii="Segoe UI" w:cs="Segoe UI" w:hAnsi="Segoe UI" w:eastAsiaTheme="minorEastAsia"/>
      <w:sz w:val="18"/>
      <w:szCs w:val="18"/>
    </w:rPr>
  </w:style>
  <w:style w:type="character" w:styleId="Hyperlink">
    <w:name w:val="Hyperlink"/>
    <w:basedOn w:val="DefaultParagraphFont"/>
    <w:uiPriority w:val="99"/>
    <w:unhideWhenUsed w:val="1"/>
    <w:rsid w:val="00407199"/>
    <w:rPr>
      <w:color w:val="0000ff" w:themeColor="hyperlink"/>
      <w:u w:val="single"/>
    </w:rPr>
  </w:style>
  <w:style w:type="table" w:styleId="GridTable1Light-Accent6">
    <w:name w:val="Grid Table 1 Light Accent 6"/>
    <w:basedOn w:val="TableNormal"/>
    <w:uiPriority w:val="46"/>
    <w:rsid w:val="00133121"/>
    <w:pPr>
      <w:spacing w:after="0" w:line="240" w:lineRule="auto"/>
    </w:pPr>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133121"/>
    <w:pPr>
      <w:spacing w:after="0" w:line="240" w:lineRule="auto"/>
    </w:p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133121"/>
    <w:pPr>
      <w:spacing w:after="0" w:line="240" w:lineRule="auto"/>
    </w:pPr>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character" w:styleId="rubtitle" w:customStyle="1">
    <w:name w:val="rubtitle"/>
    <w:basedOn w:val="DefaultParagraphFont"/>
    <w:rsid w:val="000A0D97"/>
  </w:style>
  <w:style w:type="character" w:styleId="row-title" w:customStyle="1">
    <w:name w:val="row-title"/>
    <w:basedOn w:val="DefaultParagraphFont"/>
    <w:rsid w:val="000A0D97"/>
  </w:style>
  <w:style w:type="character" w:styleId="Emphasis">
    <w:name w:val="Emphasis"/>
    <w:basedOn w:val="DefaultParagraphFont"/>
    <w:uiPriority w:val="20"/>
    <w:qFormat w:val="1"/>
    <w:rsid w:val="00674773"/>
    <w:rPr>
      <w:i w:val="1"/>
      <w:iCs w:val="1"/>
    </w:rPr>
  </w:style>
  <w:style w:type="character" w:styleId="Heading3Char" w:customStyle="1">
    <w:name w:val="Heading 3 Char"/>
    <w:basedOn w:val="DefaultParagraphFont"/>
    <w:link w:val="Heading3"/>
    <w:uiPriority w:val="9"/>
    <w:rsid w:val="00545672"/>
    <w:rPr>
      <w:rFonts w:eastAsia="Times New Roman"/>
      <w:b w:val="1"/>
      <w:bCs w:val="1"/>
      <w:sz w:val="27"/>
      <w:szCs w:val="27"/>
    </w:rPr>
  </w:style>
  <w:style w:type="paragraph" w:styleId="NormalWeb">
    <w:name w:val="Normal (Web)"/>
    <w:basedOn w:val="Normal"/>
    <w:uiPriority w:val="99"/>
    <w:semiHidden w:val="1"/>
    <w:unhideWhenUsed w:val="1"/>
    <w:rsid w:val="00657169"/>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ybeZxwk2BytIwsQ7MNzl4Y4pEZETznlzaylUuNdKdaw/edit?usp=sharing" TargetMode="External"/><Relationship Id="rId22" Type="http://schemas.openxmlformats.org/officeDocument/2006/relationships/hyperlink" Target="https://docs.google.com/document/d/1HK7rC_UF-9RIZXGZ3wBWynlTZgAROuV3YW_-VBJ-Nsc/edit?usp=sharing" TargetMode="External"/><Relationship Id="rId21" Type="http://schemas.openxmlformats.org/officeDocument/2006/relationships/hyperlink" Target="https://docs.google.com/document/d/1jgJrnPTg-PvInDVHSe53SaUWhesHXz85D6zwlcICImQ/edit?usp=sharing" TargetMode="External"/><Relationship Id="rId24" Type="http://schemas.openxmlformats.org/officeDocument/2006/relationships/header" Target="header1.xml"/><Relationship Id="rId23" Type="http://schemas.openxmlformats.org/officeDocument/2006/relationships/hyperlink" Target="https://docs.google.com/document/d/1uQS1ImX8cQNhrjqvYZhqVnRGJFNKcfgMMWtHQj4px98/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AAK90CKmRG8lRwBAEj2Qf_ifHPx76crGNZ7Lcf-drCE/edit?usp=sharing"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zcrNMvUGyE3P1pMmqb0YTC6PNmzYBpYQ2dFI6pjo7lM/edit?usp=sharing" TargetMode="External"/><Relationship Id="rId8" Type="http://schemas.openxmlformats.org/officeDocument/2006/relationships/hyperlink" Target="https://docs.google.com/document/d/1AAK90CKmRG8lRwBAEj2Qf_ifHPx76crGNZ7Lcf-drCE/edit?usp=sharing" TargetMode="External"/><Relationship Id="rId11" Type="http://schemas.openxmlformats.org/officeDocument/2006/relationships/hyperlink" Target="https://docs.google.com/document/d/1F0HSqvhl0fIZchv6sb6KkB-vDyuXYfoRFhFGqSq4hBc/edit?usp=sharing" TargetMode="External"/><Relationship Id="rId10" Type="http://schemas.openxmlformats.org/officeDocument/2006/relationships/hyperlink" Target="https://docs.google.com/document/d/1ggs0gW4MJc7WBPrih8I0B64Mni5GNUxWu59-vyWTaRw/edit?usp=sharing" TargetMode="External"/><Relationship Id="rId13" Type="http://schemas.openxmlformats.org/officeDocument/2006/relationships/hyperlink" Target="https://docs.google.com/document/d/1jgJrnPTg-PvInDVHSe53SaUWhesHXz85D6zwlcICImQ/edit?usp=sharing" TargetMode="External"/><Relationship Id="rId12" Type="http://schemas.openxmlformats.org/officeDocument/2006/relationships/hyperlink" Target="https://docs.google.com/document/d/1ybeZxwk2BytIwsQ7MNzl4Y4pEZETznlzaylUuNdKdaw/edit?usp=sharing" TargetMode="External"/><Relationship Id="rId15" Type="http://schemas.openxmlformats.org/officeDocument/2006/relationships/hyperlink" Target="https://docs.google.com/document/d/1uQS1ImX8cQNhrjqvYZhqVnRGJFNKcfgMMWtHQj4px98/edit?usp=sharing" TargetMode="External"/><Relationship Id="rId14" Type="http://schemas.openxmlformats.org/officeDocument/2006/relationships/hyperlink" Target="https://docs.google.com/document/d/1HK7rC_UF-9RIZXGZ3wBWynlTZgAROuV3YW_-VBJ-Nsc/edit?usp=sharing" TargetMode="External"/><Relationship Id="rId17" Type="http://schemas.openxmlformats.org/officeDocument/2006/relationships/hyperlink" Target="https://docs.google.com/document/d/1AAK90CKmRG8lRwBAEj2Qf_ifHPx76crGNZ7Lcf-drCE/edit?usp=sharing" TargetMode="External"/><Relationship Id="rId16" Type="http://schemas.openxmlformats.org/officeDocument/2006/relationships/hyperlink" Target="https://docs.google.com/document/d/1zcrNMvUGyE3P1pMmqb0YTC6PNmzYBpYQ2dFI6pjo7lM/edit?usp=sharing" TargetMode="External"/><Relationship Id="rId19" Type="http://schemas.openxmlformats.org/officeDocument/2006/relationships/hyperlink" Target="https://docs.google.com/document/d/1F0HSqvhl0fIZchv6sb6KkB-vDyuXYfoRFhFGqSq4hBc/edit?usp=sharing" TargetMode="External"/><Relationship Id="rId18" Type="http://schemas.openxmlformats.org/officeDocument/2006/relationships/hyperlink" Target="https://docs.google.com/document/d/1ggs0gW4MJc7WBPrih8I0B64Mni5GNUxWu59-vyWTaRw/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Gdhrq94ABf1OUWAedS3cJI/jw==">CgMxLjA4AHIhMXE1WlprQTFpNmo4WE52b25qZDRJRnVtdmZXeUhXQ2R2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2020-06-05T11:24:00Z</dcterms:created>
  <dc:creator>User</dc:creator>
</cp:coreProperties>
</file>